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4787"/>
      </w:tblGrid>
      <w:tr w:rsidR="00CF23C1" w14:paraId="70E80C61" w14:textId="77777777" w:rsidTr="006571D9">
        <w:tc>
          <w:tcPr>
            <w:tcW w:w="3005" w:type="dxa"/>
          </w:tcPr>
          <w:p w14:paraId="7473E5A5" w14:textId="0A66A3E6" w:rsidR="00CF23C1" w:rsidRDefault="00CF23C1" w:rsidP="008D6D3F">
            <w:pPr>
              <w:jc w:val="both"/>
              <w:rPr>
                <w:b/>
                <w:bCs/>
              </w:rPr>
            </w:pPr>
            <w:r>
              <w:rPr>
                <w:b/>
                <w:bCs/>
                <w:noProof/>
              </w:rPr>
              <w:drawing>
                <wp:anchor distT="0" distB="0" distL="114300" distR="114300" simplePos="0" relativeHeight="251659264" behindDoc="0" locked="0" layoutInCell="1" allowOverlap="1" wp14:anchorId="1EAA706B" wp14:editId="34C2D82A">
                  <wp:simplePos x="0" y="0"/>
                  <wp:positionH relativeFrom="column">
                    <wp:posOffset>-635</wp:posOffset>
                  </wp:positionH>
                  <wp:positionV relativeFrom="paragraph">
                    <wp:posOffset>173990</wp:posOffset>
                  </wp:positionV>
                  <wp:extent cx="1016000" cy="952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16000" cy="952500"/>
                          </a:xfrm>
                          <a:prstGeom prst="rect">
                            <a:avLst/>
                          </a:prstGeom>
                        </pic:spPr>
                      </pic:pic>
                    </a:graphicData>
                  </a:graphic>
                </wp:anchor>
              </w:drawing>
            </w:r>
          </w:p>
        </w:tc>
        <w:tc>
          <w:tcPr>
            <w:tcW w:w="4787" w:type="dxa"/>
          </w:tcPr>
          <w:p w14:paraId="03DF2CDB" w14:textId="77777777" w:rsidR="00CF23C1" w:rsidRDefault="00EF477F" w:rsidP="00796F53">
            <w:pPr>
              <w:jc w:val="right"/>
              <w:rPr>
                <w:b/>
                <w:bCs/>
              </w:rPr>
            </w:pPr>
            <w:r>
              <w:rPr>
                <w:b/>
                <w:bCs/>
              </w:rPr>
              <w:t>Chain Bridge Forge</w:t>
            </w:r>
          </w:p>
          <w:p w14:paraId="0B4C13AA" w14:textId="77777777" w:rsidR="00EF477F" w:rsidRDefault="00EF477F" w:rsidP="00796F53">
            <w:pPr>
              <w:jc w:val="right"/>
              <w:rPr>
                <w:b/>
                <w:bCs/>
              </w:rPr>
            </w:pPr>
            <w:r>
              <w:rPr>
                <w:b/>
                <w:bCs/>
              </w:rPr>
              <w:t>High St</w:t>
            </w:r>
          </w:p>
          <w:p w14:paraId="256B3753" w14:textId="77777777" w:rsidR="00EF477F" w:rsidRDefault="00EF477F" w:rsidP="00796F53">
            <w:pPr>
              <w:jc w:val="right"/>
              <w:rPr>
                <w:b/>
                <w:bCs/>
              </w:rPr>
            </w:pPr>
            <w:r>
              <w:rPr>
                <w:b/>
                <w:bCs/>
              </w:rPr>
              <w:t xml:space="preserve">Spalding </w:t>
            </w:r>
          </w:p>
          <w:p w14:paraId="214962A3" w14:textId="77777777" w:rsidR="00EF477F" w:rsidRDefault="00EF477F" w:rsidP="00796F53">
            <w:pPr>
              <w:jc w:val="right"/>
              <w:rPr>
                <w:b/>
                <w:bCs/>
              </w:rPr>
            </w:pPr>
            <w:r>
              <w:rPr>
                <w:b/>
                <w:bCs/>
              </w:rPr>
              <w:t>Lincs</w:t>
            </w:r>
          </w:p>
          <w:p w14:paraId="1D3DDE69" w14:textId="3564D4D8" w:rsidR="00EF477F" w:rsidRDefault="00426ADE" w:rsidP="00796F53">
            <w:pPr>
              <w:jc w:val="right"/>
              <w:rPr>
                <w:b/>
                <w:bCs/>
              </w:rPr>
            </w:pPr>
            <w:r>
              <w:rPr>
                <w:b/>
                <w:bCs/>
              </w:rPr>
              <w:t>PE11 1TX</w:t>
            </w:r>
          </w:p>
        </w:tc>
      </w:tr>
    </w:tbl>
    <w:p w14:paraId="3939625B" w14:textId="77777777" w:rsidR="00FD6A3B" w:rsidRDefault="00FD6A3B">
      <w:pPr>
        <w:rPr>
          <w:b/>
          <w:bCs/>
        </w:rPr>
      </w:pPr>
    </w:p>
    <w:p w14:paraId="79C330DC" w14:textId="39D4E09A" w:rsidR="004502D6" w:rsidRPr="005E69B2" w:rsidRDefault="00FD6A3B">
      <w:pPr>
        <w:rPr>
          <w:b/>
          <w:bCs/>
          <w:sz w:val="40"/>
          <w:szCs w:val="40"/>
          <w:u w:val="single"/>
        </w:rPr>
      </w:pPr>
      <w:r w:rsidRPr="00EF477F">
        <w:rPr>
          <w:b/>
          <w:bCs/>
          <w:sz w:val="40"/>
          <w:szCs w:val="40"/>
        </w:rPr>
        <w:t xml:space="preserve">Response to </w:t>
      </w:r>
      <w:r w:rsidR="004502D6" w:rsidRPr="00EF477F">
        <w:rPr>
          <w:b/>
          <w:bCs/>
          <w:sz w:val="40"/>
          <w:szCs w:val="40"/>
        </w:rPr>
        <w:t xml:space="preserve">areas of improvement from initial Accreditation </w:t>
      </w:r>
    </w:p>
    <w:p w14:paraId="5EB54705" w14:textId="6878B4F6" w:rsidR="006D0848" w:rsidRPr="00ED0324" w:rsidRDefault="006D0848">
      <w:pPr>
        <w:rPr>
          <w:b/>
          <w:bCs/>
        </w:rPr>
      </w:pPr>
      <w:r w:rsidRPr="00ED0324">
        <w:rPr>
          <w:b/>
          <w:bCs/>
        </w:rPr>
        <w:t xml:space="preserve">Chain Bridge Forge Museum AN2297   </w:t>
      </w:r>
    </w:p>
    <w:p w14:paraId="6B728326" w14:textId="77777777" w:rsidR="002A4431" w:rsidRPr="00ED0324" w:rsidRDefault="002A4431">
      <w:pPr>
        <w:rPr>
          <w:b/>
          <w:bCs/>
        </w:rPr>
      </w:pPr>
    </w:p>
    <w:p w14:paraId="231E3E12" w14:textId="77777777" w:rsidR="00EE4785" w:rsidRPr="00ED0324" w:rsidRDefault="00EE4785">
      <w:pPr>
        <w:rPr>
          <w:b/>
          <w:bCs/>
        </w:rPr>
      </w:pPr>
      <w:r w:rsidRPr="00ED0324">
        <w:rPr>
          <w:b/>
          <w:bCs/>
        </w:rPr>
        <w:t xml:space="preserve">Status - </w:t>
      </w:r>
      <w:r w:rsidR="006D0848" w:rsidRPr="00ED0324">
        <w:rPr>
          <w:b/>
          <w:bCs/>
        </w:rPr>
        <w:t xml:space="preserve">Full Accreditation. </w:t>
      </w:r>
    </w:p>
    <w:p w14:paraId="5A3FF65B" w14:textId="77777777" w:rsidR="00A417AC" w:rsidRDefault="00A417AC"/>
    <w:p w14:paraId="62DAD547" w14:textId="16AC98FF" w:rsidR="008A1C2B" w:rsidRDefault="00D9075D">
      <w:r w:rsidRPr="00D9075D">
        <w:t xml:space="preserve">Areas for improvement (2011 Standard) </w:t>
      </w:r>
      <w:r w:rsidR="008A1C2B">
        <w:t>and response</w:t>
      </w:r>
    </w:p>
    <w:p w14:paraId="0034E4EE" w14:textId="77777777" w:rsidR="00ED0324" w:rsidRDefault="00ED0324"/>
    <w:p w14:paraId="083F33AA" w14:textId="77777777" w:rsidR="00524BAE" w:rsidRPr="00ED0324" w:rsidRDefault="00D9075D">
      <w:pPr>
        <w:rPr>
          <w:b/>
          <w:bCs/>
        </w:rPr>
      </w:pPr>
      <w:r w:rsidRPr="00ED0324">
        <w:rPr>
          <w:b/>
          <w:bCs/>
        </w:rPr>
        <w:t xml:space="preserve">1.2 Governance: </w:t>
      </w:r>
    </w:p>
    <w:p w14:paraId="7BADB2E2" w14:textId="77777777" w:rsidR="00534F88" w:rsidRDefault="00D9075D" w:rsidP="00AE0660">
      <w:pPr>
        <w:pStyle w:val="ListParagraph"/>
        <w:numPr>
          <w:ilvl w:val="0"/>
          <w:numId w:val="1"/>
        </w:numPr>
      </w:pPr>
      <w:r w:rsidRPr="00D9075D">
        <w:t xml:space="preserve">consider registration as a charity with the Charities Commission when financial threshold </w:t>
      </w:r>
      <w:proofErr w:type="gramStart"/>
      <w:r w:rsidRPr="00D9075D">
        <w:t>is achieved</w:t>
      </w:r>
      <w:proofErr w:type="gramEnd"/>
      <w:r w:rsidRPr="00D9075D">
        <w:t xml:space="preserve"> </w:t>
      </w:r>
    </w:p>
    <w:p w14:paraId="51B4842C" w14:textId="351D14E0" w:rsidR="00AE0660" w:rsidRPr="005404A8" w:rsidRDefault="00ED42D8" w:rsidP="00534F88">
      <w:pPr>
        <w:pStyle w:val="ListParagraph"/>
        <w:rPr>
          <w:i/>
          <w:iCs/>
        </w:rPr>
      </w:pPr>
      <w:r w:rsidRPr="005404A8">
        <w:rPr>
          <w:i/>
          <w:iCs/>
        </w:rPr>
        <w:t xml:space="preserve">Chain Bridge Forge have </w:t>
      </w:r>
      <w:r w:rsidR="00534F88" w:rsidRPr="005404A8">
        <w:rPr>
          <w:i/>
          <w:iCs/>
        </w:rPr>
        <w:t>reorganised there offering</w:t>
      </w:r>
      <w:r w:rsidR="00E400E9" w:rsidRPr="005404A8">
        <w:rPr>
          <w:i/>
          <w:iCs/>
        </w:rPr>
        <w:t xml:space="preserve"> so that The Friends of Chain Bridge Forge </w:t>
      </w:r>
      <w:r w:rsidR="00086C1F" w:rsidRPr="005404A8">
        <w:rPr>
          <w:i/>
          <w:iCs/>
        </w:rPr>
        <w:t xml:space="preserve">are primarily responsible for </w:t>
      </w:r>
      <w:r w:rsidR="009B5FD9" w:rsidRPr="005404A8">
        <w:rPr>
          <w:i/>
          <w:iCs/>
        </w:rPr>
        <w:t xml:space="preserve">delivering Blacksmithing </w:t>
      </w:r>
      <w:r w:rsidR="00FF3AC5" w:rsidRPr="005404A8">
        <w:rPr>
          <w:i/>
          <w:iCs/>
        </w:rPr>
        <w:t xml:space="preserve">and oversight of a new charity called South </w:t>
      </w:r>
      <w:r w:rsidR="008B3826" w:rsidRPr="005404A8">
        <w:rPr>
          <w:i/>
          <w:iCs/>
        </w:rPr>
        <w:t xml:space="preserve">Holland Life which is responsible for </w:t>
      </w:r>
      <w:r w:rsidR="00A91DDC">
        <w:rPr>
          <w:i/>
          <w:iCs/>
        </w:rPr>
        <w:t>Art</w:t>
      </w:r>
      <w:r w:rsidR="00B60193" w:rsidRPr="005404A8">
        <w:rPr>
          <w:i/>
          <w:iCs/>
        </w:rPr>
        <w:t xml:space="preserve"> in the community. Online local history</w:t>
      </w:r>
      <w:r w:rsidR="005404A8" w:rsidRPr="005404A8">
        <w:rPr>
          <w:i/>
          <w:iCs/>
        </w:rPr>
        <w:t xml:space="preserve"> and </w:t>
      </w:r>
      <w:r w:rsidR="008F0B18">
        <w:rPr>
          <w:i/>
          <w:iCs/>
        </w:rPr>
        <w:t xml:space="preserve">Innovation </w:t>
      </w:r>
      <w:r w:rsidR="005404A8" w:rsidRPr="005404A8">
        <w:rPr>
          <w:i/>
          <w:iCs/>
        </w:rPr>
        <w:t xml:space="preserve">in a museum context. </w:t>
      </w:r>
    </w:p>
    <w:p w14:paraId="153F7543" w14:textId="77777777" w:rsidR="00AE0660" w:rsidRDefault="00D9075D" w:rsidP="00AE0660">
      <w:pPr>
        <w:pStyle w:val="ListParagraph"/>
        <w:numPr>
          <w:ilvl w:val="0"/>
          <w:numId w:val="1"/>
        </w:numPr>
      </w:pPr>
      <w:r w:rsidRPr="00D9075D">
        <w:t xml:space="preserve">review section 19 of the governance document to explicitly define the form of remuneration permitted and exclude collections from this, based on the clear policy direction of the existing collections development policy. </w:t>
      </w:r>
    </w:p>
    <w:p w14:paraId="3E8246AF" w14:textId="77777777" w:rsidR="005404A8" w:rsidRPr="000E75AF" w:rsidRDefault="00C90FCE" w:rsidP="005404A8">
      <w:pPr>
        <w:pStyle w:val="ListParagraph"/>
        <w:rPr>
          <w:i/>
          <w:iCs/>
        </w:rPr>
      </w:pPr>
      <w:r w:rsidRPr="000E75AF">
        <w:rPr>
          <w:i/>
          <w:iCs/>
        </w:rPr>
        <w:t xml:space="preserve">Governance documentation updated </w:t>
      </w:r>
      <w:r w:rsidR="000E75AF" w:rsidRPr="000E75AF">
        <w:rPr>
          <w:i/>
          <w:iCs/>
        </w:rPr>
        <w:t>to comply with requirement.</w:t>
      </w:r>
    </w:p>
    <w:p w14:paraId="26DE7C05" w14:textId="602895A3" w:rsidR="00D821D9" w:rsidRDefault="00D9075D" w:rsidP="00AE0660">
      <w:pPr>
        <w:pStyle w:val="ListParagraph"/>
        <w:numPr>
          <w:ilvl w:val="0"/>
          <w:numId w:val="1"/>
        </w:numPr>
      </w:pPr>
      <w:r w:rsidRPr="00D9075D">
        <w:t xml:space="preserve">in the event of the collection of Geoff Dodd </w:t>
      </w:r>
      <w:proofErr w:type="gramStart"/>
      <w:r w:rsidRPr="00D9075D">
        <w:t>being gifted</w:t>
      </w:r>
      <w:proofErr w:type="gramEnd"/>
      <w:r w:rsidRPr="00D9075D">
        <w:t xml:space="preserve"> to the museum, review governance arrangements to ensure long term protection of the collection, including the addition of powers to hold and develop a collection of material associated with the Chain Bridge Forge and Blacksmithing in Spalding, and/or the development of a separate collections holding Trust to support the existing objects</w:t>
      </w:r>
      <w:r w:rsidR="006571D9" w:rsidRPr="00D9075D">
        <w:t xml:space="preserve">. </w:t>
      </w:r>
    </w:p>
    <w:p w14:paraId="40489A7E" w14:textId="77777777" w:rsidR="00471DF9" w:rsidRPr="0058424A" w:rsidRDefault="00471DF9" w:rsidP="00471DF9">
      <w:pPr>
        <w:pStyle w:val="ListParagraph"/>
        <w:rPr>
          <w:i/>
          <w:iCs/>
        </w:rPr>
      </w:pPr>
      <w:r w:rsidRPr="0058424A">
        <w:rPr>
          <w:i/>
          <w:iCs/>
        </w:rPr>
        <w:t xml:space="preserve">The Forge have purchased these </w:t>
      </w:r>
      <w:r w:rsidR="00153704" w:rsidRPr="0058424A">
        <w:rPr>
          <w:i/>
          <w:iCs/>
        </w:rPr>
        <w:t xml:space="preserve">items and </w:t>
      </w:r>
      <w:r w:rsidR="0058424A" w:rsidRPr="0058424A">
        <w:rPr>
          <w:i/>
          <w:iCs/>
        </w:rPr>
        <w:t xml:space="preserve">they </w:t>
      </w:r>
      <w:r w:rsidR="00153704" w:rsidRPr="0058424A">
        <w:rPr>
          <w:i/>
          <w:iCs/>
        </w:rPr>
        <w:t xml:space="preserve">are </w:t>
      </w:r>
      <w:r w:rsidR="00BB408F" w:rsidRPr="0058424A">
        <w:rPr>
          <w:i/>
          <w:iCs/>
        </w:rPr>
        <w:t xml:space="preserve">now in the </w:t>
      </w:r>
      <w:r w:rsidR="005E648F" w:rsidRPr="0058424A">
        <w:rPr>
          <w:i/>
          <w:iCs/>
        </w:rPr>
        <w:t>ownership of The Friends of Chain Bridge Forge</w:t>
      </w:r>
      <w:r w:rsidR="00C92772">
        <w:rPr>
          <w:i/>
          <w:iCs/>
        </w:rPr>
        <w:t xml:space="preserve">. Local history items have also </w:t>
      </w:r>
      <w:proofErr w:type="gramStart"/>
      <w:r w:rsidR="00C92772">
        <w:rPr>
          <w:i/>
          <w:iCs/>
        </w:rPr>
        <w:t>been included</w:t>
      </w:r>
      <w:proofErr w:type="gramEnd"/>
      <w:r w:rsidR="00C92772">
        <w:rPr>
          <w:i/>
          <w:iCs/>
        </w:rPr>
        <w:t xml:space="preserve"> and they are under the management of South Holland Life.</w:t>
      </w:r>
    </w:p>
    <w:p w14:paraId="3C5BA2F9" w14:textId="77777777" w:rsidR="00D821D9" w:rsidRDefault="00D821D9" w:rsidP="00D821D9">
      <w:pPr>
        <w:pStyle w:val="ListParagraph"/>
      </w:pPr>
    </w:p>
    <w:p w14:paraId="22880413" w14:textId="77777777" w:rsidR="00D821D9" w:rsidRDefault="00D9075D" w:rsidP="00D821D9">
      <w:r w:rsidRPr="00A878A1">
        <w:rPr>
          <w:b/>
          <w:bCs/>
        </w:rPr>
        <w:t>1.3 Succession planning</w:t>
      </w:r>
      <w:r w:rsidRPr="00D9075D">
        <w:t xml:space="preserve">: develop succession planning in support of constitution and forward planning, linking with strategies to increase membership and participation from the local, and wider interest community.  </w:t>
      </w:r>
    </w:p>
    <w:p w14:paraId="571109AB" w14:textId="6506CE96" w:rsidR="0082385D" w:rsidRPr="003213AD" w:rsidRDefault="0082385D" w:rsidP="00A314F2">
      <w:pPr>
        <w:ind w:left="720"/>
        <w:rPr>
          <w:i/>
          <w:iCs/>
        </w:rPr>
      </w:pPr>
      <w:r w:rsidRPr="003213AD">
        <w:rPr>
          <w:i/>
          <w:iCs/>
        </w:rPr>
        <w:t xml:space="preserve">Succession Planning is </w:t>
      </w:r>
      <w:r w:rsidR="001C37AC" w:rsidRPr="003213AD">
        <w:rPr>
          <w:i/>
          <w:iCs/>
        </w:rPr>
        <w:t xml:space="preserve">an ongoing issue post </w:t>
      </w:r>
      <w:r w:rsidR="00AE5526" w:rsidRPr="003213AD">
        <w:rPr>
          <w:i/>
          <w:iCs/>
        </w:rPr>
        <w:t>COVID</w:t>
      </w:r>
      <w:r w:rsidR="0077000E" w:rsidRPr="003213AD">
        <w:rPr>
          <w:i/>
          <w:iCs/>
        </w:rPr>
        <w:t xml:space="preserve">. The creation of </w:t>
      </w:r>
      <w:r w:rsidR="004014CD" w:rsidRPr="003213AD">
        <w:rPr>
          <w:i/>
          <w:iCs/>
        </w:rPr>
        <w:t>South Holland Life has brought</w:t>
      </w:r>
      <w:r w:rsidR="00513C14" w:rsidRPr="003213AD">
        <w:rPr>
          <w:i/>
          <w:iCs/>
        </w:rPr>
        <w:t xml:space="preserve"> in</w:t>
      </w:r>
      <w:r w:rsidR="004014CD" w:rsidRPr="003213AD">
        <w:rPr>
          <w:i/>
          <w:iCs/>
        </w:rPr>
        <w:t xml:space="preserve"> </w:t>
      </w:r>
      <w:r w:rsidR="00CC720D">
        <w:rPr>
          <w:i/>
          <w:iCs/>
        </w:rPr>
        <w:t xml:space="preserve">new </w:t>
      </w:r>
      <w:r w:rsidR="004014CD" w:rsidRPr="003213AD">
        <w:rPr>
          <w:i/>
          <w:iCs/>
        </w:rPr>
        <w:t>Trustees to the organisation</w:t>
      </w:r>
      <w:r w:rsidR="00E327C8">
        <w:rPr>
          <w:i/>
          <w:iCs/>
        </w:rPr>
        <w:t xml:space="preserve"> and</w:t>
      </w:r>
      <w:r w:rsidR="004014CD" w:rsidRPr="003213AD">
        <w:rPr>
          <w:i/>
          <w:iCs/>
        </w:rPr>
        <w:t xml:space="preserve"> </w:t>
      </w:r>
      <w:r w:rsidR="00B759DB">
        <w:rPr>
          <w:i/>
          <w:iCs/>
        </w:rPr>
        <w:t xml:space="preserve">in the </w:t>
      </w:r>
      <w:r w:rsidR="00E3759C">
        <w:rPr>
          <w:i/>
          <w:iCs/>
        </w:rPr>
        <w:t xml:space="preserve">coming year </w:t>
      </w:r>
      <w:r w:rsidR="00560E8D">
        <w:rPr>
          <w:i/>
          <w:iCs/>
        </w:rPr>
        <w:t xml:space="preserve">we </w:t>
      </w:r>
      <w:r w:rsidR="00E01686">
        <w:rPr>
          <w:i/>
          <w:iCs/>
        </w:rPr>
        <w:t xml:space="preserve">will </w:t>
      </w:r>
      <w:r w:rsidR="00560E8D">
        <w:rPr>
          <w:i/>
          <w:iCs/>
        </w:rPr>
        <w:t xml:space="preserve">develop each strand </w:t>
      </w:r>
      <w:r w:rsidR="00565CCE">
        <w:rPr>
          <w:i/>
          <w:iCs/>
        </w:rPr>
        <w:t>of the organisation</w:t>
      </w:r>
      <w:r w:rsidR="00E01686">
        <w:rPr>
          <w:i/>
          <w:iCs/>
        </w:rPr>
        <w:t>s</w:t>
      </w:r>
      <w:r w:rsidR="00565CCE">
        <w:rPr>
          <w:i/>
          <w:iCs/>
        </w:rPr>
        <w:t>.</w:t>
      </w:r>
      <w:r w:rsidR="00263106">
        <w:rPr>
          <w:i/>
          <w:iCs/>
        </w:rPr>
        <w:t xml:space="preserve"> </w:t>
      </w:r>
      <w:r w:rsidR="00415569">
        <w:rPr>
          <w:i/>
          <w:iCs/>
        </w:rPr>
        <w:t>M</w:t>
      </w:r>
    </w:p>
    <w:p w14:paraId="43ACCAE0" w14:textId="77777777" w:rsidR="00AA2ADE" w:rsidRPr="003213AD" w:rsidRDefault="00AA2ADE" w:rsidP="00D821D9">
      <w:pPr>
        <w:rPr>
          <w:i/>
          <w:iCs/>
        </w:rPr>
      </w:pPr>
    </w:p>
    <w:p w14:paraId="56EFC07A" w14:textId="77777777" w:rsidR="00D821D9" w:rsidRDefault="00D821D9" w:rsidP="00D821D9"/>
    <w:p w14:paraId="46B7DEA3" w14:textId="77777777" w:rsidR="00B70E42" w:rsidRDefault="00D9075D" w:rsidP="00D821D9">
      <w:r w:rsidRPr="00A878A1">
        <w:rPr>
          <w:b/>
          <w:bCs/>
        </w:rPr>
        <w:t>1.4 Forward planning:</w:t>
      </w:r>
      <w:r w:rsidRPr="00D9075D">
        <w:t xml:space="preserve">  </w:t>
      </w:r>
    </w:p>
    <w:p w14:paraId="16E4F6A6" w14:textId="23591C1B" w:rsidR="00D06472" w:rsidRDefault="00D9075D" w:rsidP="00B70E42">
      <w:pPr>
        <w:pStyle w:val="ListParagraph"/>
        <w:numPr>
          <w:ilvl w:val="0"/>
          <w:numId w:val="2"/>
        </w:numPr>
      </w:pPr>
      <w:r w:rsidRPr="00D9075D">
        <w:t xml:space="preserve">in support of sustainability objective, develop a longer term (3-5 year) overarching museum plan/strategy, to support current annual planning, and provide the longer view. </w:t>
      </w:r>
    </w:p>
    <w:p w14:paraId="2C980D61" w14:textId="78CDF87D" w:rsidR="00A13478" w:rsidRPr="001F0403" w:rsidRDefault="00F064F8" w:rsidP="00A13478">
      <w:pPr>
        <w:pStyle w:val="ListParagraph"/>
        <w:rPr>
          <w:i/>
          <w:iCs/>
        </w:rPr>
      </w:pPr>
      <w:r w:rsidRPr="001F0403">
        <w:rPr>
          <w:i/>
          <w:iCs/>
        </w:rPr>
        <w:t xml:space="preserve">The Forge is an </w:t>
      </w:r>
      <w:r w:rsidR="0039164E" w:rsidRPr="001F0403">
        <w:rPr>
          <w:i/>
          <w:iCs/>
        </w:rPr>
        <w:t xml:space="preserve">agile organisation </w:t>
      </w:r>
      <w:r w:rsidR="001F0403" w:rsidRPr="001F0403">
        <w:rPr>
          <w:i/>
          <w:iCs/>
        </w:rPr>
        <w:t xml:space="preserve">reacting to the changing environment </w:t>
      </w:r>
      <w:r w:rsidR="005372C4">
        <w:rPr>
          <w:i/>
          <w:iCs/>
        </w:rPr>
        <w:t xml:space="preserve">to reflect </w:t>
      </w:r>
      <w:r w:rsidR="00113AFD">
        <w:rPr>
          <w:i/>
          <w:iCs/>
        </w:rPr>
        <w:t xml:space="preserve">the volatility </w:t>
      </w:r>
      <w:r w:rsidR="006A5F3C">
        <w:rPr>
          <w:i/>
          <w:iCs/>
        </w:rPr>
        <w:t xml:space="preserve">of a voluntary organisation. </w:t>
      </w:r>
      <w:r w:rsidR="003D6787">
        <w:rPr>
          <w:i/>
          <w:iCs/>
        </w:rPr>
        <w:t xml:space="preserve">The Forge </w:t>
      </w:r>
      <w:r w:rsidR="00767D09">
        <w:rPr>
          <w:i/>
          <w:iCs/>
        </w:rPr>
        <w:t>has survived C</w:t>
      </w:r>
      <w:r w:rsidR="000A247F">
        <w:rPr>
          <w:i/>
          <w:iCs/>
        </w:rPr>
        <w:t xml:space="preserve">OVID </w:t>
      </w:r>
      <w:r w:rsidR="003946A4">
        <w:rPr>
          <w:i/>
          <w:iCs/>
        </w:rPr>
        <w:t xml:space="preserve">in </w:t>
      </w:r>
      <w:proofErr w:type="gramStart"/>
      <w:r w:rsidR="003946A4">
        <w:rPr>
          <w:i/>
          <w:iCs/>
        </w:rPr>
        <w:t>good shape</w:t>
      </w:r>
      <w:proofErr w:type="gramEnd"/>
      <w:r w:rsidR="003946A4">
        <w:rPr>
          <w:i/>
          <w:iCs/>
        </w:rPr>
        <w:t xml:space="preserve"> </w:t>
      </w:r>
      <w:r w:rsidR="000A247F">
        <w:rPr>
          <w:i/>
          <w:iCs/>
        </w:rPr>
        <w:t xml:space="preserve">and we have created a </w:t>
      </w:r>
      <w:r w:rsidR="00956EA3">
        <w:rPr>
          <w:i/>
          <w:iCs/>
        </w:rPr>
        <w:t xml:space="preserve">plan </w:t>
      </w:r>
      <w:r w:rsidR="003946A4">
        <w:rPr>
          <w:i/>
          <w:iCs/>
        </w:rPr>
        <w:t>attached</w:t>
      </w:r>
      <w:r w:rsidR="00E83A49">
        <w:rPr>
          <w:i/>
          <w:iCs/>
        </w:rPr>
        <w:t xml:space="preserve"> which </w:t>
      </w:r>
      <w:r w:rsidR="0090785D">
        <w:rPr>
          <w:i/>
          <w:iCs/>
        </w:rPr>
        <w:t>reflects our planning.</w:t>
      </w:r>
    </w:p>
    <w:p w14:paraId="68D6F334" w14:textId="0D50EB49" w:rsidR="00D06472" w:rsidRPr="007C44CB" w:rsidRDefault="00D9075D" w:rsidP="00B70E42">
      <w:pPr>
        <w:pStyle w:val="ListParagraph"/>
        <w:numPr>
          <w:ilvl w:val="0"/>
          <w:numId w:val="2"/>
        </w:numPr>
        <w:rPr>
          <w:i/>
          <w:iCs/>
        </w:rPr>
      </w:pPr>
      <w:r w:rsidRPr="00D9075D">
        <w:lastRenderedPageBreak/>
        <w:t xml:space="preserve">consider including summary of consultation and analysis of views within body of forward plan. </w:t>
      </w:r>
      <w:r w:rsidR="0092668E" w:rsidRPr="007C44CB">
        <w:rPr>
          <w:i/>
          <w:iCs/>
        </w:rPr>
        <w:t xml:space="preserve">During the </w:t>
      </w:r>
      <w:r w:rsidR="00C31D35" w:rsidRPr="007C44CB">
        <w:rPr>
          <w:i/>
          <w:iCs/>
        </w:rPr>
        <w:t xml:space="preserve">period </w:t>
      </w:r>
      <w:r w:rsidR="00512D4A">
        <w:rPr>
          <w:i/>
          <w:iCs/>
        </w:rPr>
        <w:t xml:space="preserve">we have </w:t>
      </w:r>
      <w:r w:rsidR="002447D3">
        <w:rPr>
          <w:i/>
          <w:iCs/>
        </w:rPr>
        <w:t xml:space="preserve">had two </w:t>
      </w:r>
      <w:r w:rsidR="00A145C4">
        <w:rPr>
          <w:i/>
          <w:iCs/>
        </w:rPr>
        <w:t xml:space="preserve">consultancy projects </w:t>
      </w:r>
      <w:r w:rsidR="001D6AF1">
        <w:rPr>
          <w:i/>
          <w:iCs/>
        </w:rPr>
        <w:t xml:space="preserve">National </w:t>
      </w:r>
      <w:r w:rsidR="007538CC">
        <w:rPr>
          <w:i/>
          <w:iCs/>
        </w:rPr>
        <w:t>Tru</w:t>
      </w:r>
      <w:r w:rsidR="008E075F">
        <w:rPr>
          <w:i/>
          <w:iCs/>
        </w:rPr>
        <w:t>st and LORIC</w:t>
      </w:r>
      <w:r w:rsidR="00474BD0">
        <w:rPr>
          <w:i/>
          <w:iCs/>
        </w:rPr>
        <w:t xml:space="preserve">. </w:t>
      </w:r>
      <w:r w:rsidR="00E76917">
        <w:rPr>
          <w:i/>
          <w:iCs/>
        </w:rPr>
        <w:t>Both have reports which are available for review.</w:t>
      </w:r>
    </w:p>
    <w:p w14:paraId="4D25367C" w14:textId="21D9490F" w:rsidR="002A2F7D" w:rsidRDefault="00D9075D" w:rsidP="00B70E42">
      <w:pPr>
        <w:pStyle w:val="ListParagraph"/>
        <w:numPr>
          <w:ilvl w:val="0"/>
          <w:numId w:val="2"/>
        </w:numPr>
      </w:pPr>
      <w:r w:rsidRPr="00D9075D">
        <w:t>report activity to develop a sustainable business model following HLF investment</w:t>
      </w:r>
      <w:r w:rsidR="006571D9" w:rsidRPr="00D9075D">
        <w:t xml:space="preserve">. </w:t>
      </w:r>
    </w:p>
    <w:p w14:paraId="193CF4E0" w14:textId="2C948962" w:rsidR="00D06472" w:rsidRPr="00FA7220" w:rsidRDefault="00694FAB" w:rsidP="00983664">
      <w:pPr>
        <w:pStyle w:val="ListParagraph"/>
        <w:rPr>
          <w:i/>
          <w:iCs/>
        </w:rPr>
      </w:pPr>
      <w:r w:rsidRPr="00FA7220">
        <w:rPr>
          <w:i/>
          <w:iCs/>
        </w:rPr>
        <w:t xml:space="preserve">The </w:t>
      </w:r>
      <w:r w:rsidR="001D0EE5" w:rsidRPr="00FA7220">
        <w:rPr>
          <w:i/>
          <w:iCs/>
        </w:rPr>
        <w:t xml:space="preserve">Forge </w:t>
      </w:r>
      <w:r w:rsidR="00A35994">
        <w:rPr>
          <w:i/>
          <w:iCs/>
        </w:rPr>
        <w:t xml:space="preserve">this year </w:t>
      </w:r>
      <w:r w:rsidR="00983664">
        <w:rPr>
          <w:i/>
          <w:iCs/>
        </w:rPr>
        <w:t xml:space="preserve">are celebrating 10 years since </w:t>
      </w:r>
      <w:r w:rsidR="006571D9">
        <w:rPr>
          <w:i/>
          <w:iCs/>
        </w:rPr>
        <w:t>its</w:t>
      </w:r>
      <w:r w:rsidR="00983664">
        <w:rPr>
          <w:i/>
          <w:iCs/>
        </w:rPr>
        <w:t xml:space="preserve"> inception</w:t>
      </w:r>
      <w:r w:rsidR="005C0796">
        <w:rPr>
          <w:i/>
          <w:iCs/>
        </w:rPr>
        <w:t xml:space="preserve">. </w:t>
      </w:r>
      <w:r w:rsidR="00B7000C">
        <w:rPr>
          <w:i/>
          <w:iCs/>
        </w:rPr>
        <w:t xml:space="preserve">The unique selling point for the </w:t>
      </w:r>
      <w:r w:rsidR="0024526C">
        <w:rPr>
          <w:i/>
          <w:iCs/>
        </w:rPr>
        <w:t xml:space="preserve">Forge is the building and our </w:t>
      </w:r>
      <w:r w:rsidR="00CB6AF1">
        <w:rPr>
          <w:i/>
          <w:iCs/>
        </w:rPr>
        <w:t>Blacksmithing</w:t>
      </w:r>
      <w:r w:rsidR="00562D78">
        <w:rPr>
          <w:i/>
          <w:iCs/>
        </w:rPr>
        <w:t xml:space="preserve">. </w:t>
      </w:r>
      <w:r w:rsidR="0049786B">
        <w:rPr>
          <w:i/>
          <w:iCs/>
        </w:rPr>
        <w:t xml:space="preserve">The Forge </w:t>
      </w:r>
      <w:r w:rsidR="006A6DD9">
        <w:rPr>
          <w:i/>
          <w:iCs/>
        </w:rPr>
        <w:t xml:space="preserve">markets </w:t>
      </w:r>
      <w:r w:rsidR="0049786B">
        <w:rPr>
          <w:i/>
          <w:iCs/>
        </w:rPr>
        <w:t xml:space="preserve">this capability </w:t>
      </w:r>
      <w:r w:rsidR="00182090">
        <w:rPr>
          <w:i/>
          <w:iCs/>
        </w:rPr>
        <w:t xml:space="preserve">and </w:t>
      </w:r>
      <w:r w:rsidR="00267550">
        <w:rPr>
          <w:i/>
          <w:iCs/>
        </w:rPr>
        <w:t xml:space="preserve">offer </w:t>
      </w:r>
      <w:r w:rsidR="00AD0A41">
        <w:rPr>
          <w:i/>
          <w:iCs/>
        </w:rPr>
        <w:t xml:space="preserve">restoration, repairs, </w:t>
      </w:r>
      <w:r w:rsidR="00571CBC">
        <w:rPr>
          <w:i/>
          <w:iCs/>
        </w:rPr>
        <w:t>commissions and tasters.</w:t>
      </w:r>
    </w:p>
    <w:p w14:paraId="528AE6D4" w14:textId="77777777" w:rsidR="00CF2301" w:rsidRDefault="00D9075D" w:rsidP="00B70E42">
      <w:pPr>
        <w:pStyle w:val="ListParagraph"/>
        <w:numPr>
          <w:ilvl w:val="0"/>
          <w:numId w:val="2"/>
        </w:numPr>
      </w:pPr>
      <w:r w:rsidRPr="00D9075D">
        <w:t>consider registering for GIFT AID as part of the development of a sustainable business model</w:t>
      </w:r>
    </w:p>
    <w:p w14:paraId="35C6285C" w14:textId="0CCD198B" w:rsidR="00F52A05" w:rsidRDefault="00FA7220" w:rsidP="00F52A05">
      <w:pPr>
        <w:pStyle w:val="ListParagraph"/>
        <w:rPr>
          <w:i/>
          <w:iCs/>
        </w:rPr>
      </w:pPr>
      <w:r w:rsidRPr="008B2BD4">
        <w:rPr>
          <w:i/>
          <w:iCs/>
        </w:rPr>
        <w:t xml:space="preserve">Various Finance Directors have </w:t>
      </w:r>
      <w:r w:rsidR="005A3EFE" w:rsidRPr="008B2BD4">
        <w:rPr>
          <w:i/>
          <w:iCs/>
        </w:rPr>
        <w:t xml:space="preserve">looked at the process involved </w:t>
      </w:r>
      <w:r w:rsidR="00124365" w:rsidRPr="008B2BD4">
        <w:rPr>
          <w:i/>
          <w:iCs/>
        </w:rPr>
        <w:t xml:space="preserve">in Gift Aid and the potential </w:t>
      </w:r>
      <w:proofErr w:type="gramStart"/>
      <w:r w:rsidR="008B2BD4" w:rsidRPr="008B2BD4">
        <w:rPr>
          <w:i/>
          <w:iCs/>
        </w:rPr>
        <w:t>return</w:t>
      </w:r>
      <w:r w:rsidR="006A6DD9">
        <w:rPr>
          <w:i/>
          <w:iCs/>
        </w:rPr>
        <w:t>,</w:t>
      </w:r>
      <w:proofErr w:type="gramEnd"/>
      <w:r w:rsidR="008B2BD4" w:rsidRPr="008B2BD4">
        <w:rPr>
          <w:i/>
          <w:iCs/>
        </w:rPr>
        <w:t xml:space="preserve"> all have concluded </w:t>
      </w:r>
      <w:r w:rsidR="00EA1156">
        <w:rPr>
          <w:i/>
          <w:iCs/>
        </w:rPr>
        <w:t>that it isn’t worth</w:t>
      </w:r>
      <w:r w:rsidR="009748D7">
        <w:rPr>
          <w:i/>
          <w:iCs/>
        </w:rPr>
        <w:t xml:space="preserve"> the</w:t>
      </w:r>
      <w:r w:rsidR="00EA1156">
        <w:rPr>
          <w:i/>
          <w:iCs/>
        </w:rPr>
        <w:t xml:space="preserve"> work involved.</w:t>
      </w:r>
    </w:p>
    <w:p w14:paraId="63C7741D" w14:textId="77777777" w:rsidR="0010189E" w:rsidRPr="008B2BD4" w:rsidRDefault="0010189E" w:rsidP="00F52A05">
      <w:pPr>
        <w:pStyle w:val="ListParagraph"/>
        <w:rPr>
          <w:i/>
          <w:iCs/>
        </w:rPr>
      </w:pPr>
    </w:p>
    <w:p w14:paraId="5E9F7D2E" w14:textId="77777777" w:rsidR="001B60C1" w:rsidRDefault="00D9075D" w:rsidP="00CF2301">
      <w:r w:rsidRPr="00CF2301">
        <w:rPr>
          <w:b/>
          <w:bCs/>
        </w:rPr>
        <w:t>1.7 Workforce:</w:t>
      </w:r>
      <w:r w:rsidRPr="00D9075D">
        <w:t xml:space="preserve"> include safeguarding as a specific element of the induction checklist. </w:t>
      </w:r>
    </w:p>
    <w:p w14:paraId="0E0726FE" w14:textId="2714A8E1" w:rsidR="002F04EB" w:rsidRPr="001B60C1" w:rsidRDefault="00F21397" w:rsidP="001B60C1">
      <w:pPr>
        <w:ind w:left="720"/>
        <w:rPr>
          <w:i/>
          <w:iCs/>
        </w:rPr>
      </w:pPr>
      <w:r w:rsidRPr="001B60C1">
        <w:rPr>
          <w:i/>
          <w:iCs/>
        </w:rPr>
        <w:t xml:space="preserve">Safeguarding has </w:t>
      </w:r>
      <w:proofErr w:type="gramStart"/>
      <w:r w:rsidRPr="001B60C1">
        <w:rPr>
          <w:i/>
          <w:iCs/>
        </w:rPr>
        <w:t>been incorporated</w:t>
      </w:r>
      <w:proofErr w:type="gramEnd"/>
      <w:r w:rsidRPr="001B60C1">
        <w:rPr>
          <w:i/>
          <w:iCs/>
        </w:rPr>
        <w:t xml:space="preserve"> into personnel procedures </w:t>
      </w:r>
    </w:p>
    <w:p w14:paraId="436FA262" w14:textId="77777777" w:rsidR="002F04EB" w:rsidRDefault="002F04EB" w:rsidP="00CF2301"/>
    <w:p w14:paraId="2CB567B7" w14:textId="2CB3A184" w:rsidR="00D9075D" w:rsidRDefault="00D9075D" w:rsidP="00CF2301">
      <w:r w:rsidRPr="002F04EB">
        <w:rPr>
          <w:b/>
          <w:bCs/>
        </w:rPr>
        <w:t>1.10 Environmental policy:</w:t>
      </w:r>
      <w:r w:rsidRPr="00D9075D">
        <w:t xml:space="preserve"> review current statement to connect it to the collections care and conservation policy</w:t>
      </w:r>
      <w:r w:rsidR="001B60C1">
        <w:t>.</w:t>
      </w:r>
    </w:p>
    <w:p w14:paraId="032648E3" w14:textId="456EAED9" w:rsidR="002B3381" w:rsidRPr="005E0C31" w:rsidRDefault="00275774" w:rsidP="00A72ABD">
      <w:pPr>
        <w:ind w:left="720"/>
        <w:rPr>
          <w:i/>
          <w:iCs/>
        </w:rPr>
      </w:pPr>
      <w:r w:rsidRPr="005E0C31">
        <w:rPr>
          <w:i/>
          <w:iCs/>
        </w:rPr>
        <w:t xml:space="preserve">The environment policy has been updated to reflect the environment at </w:t>
      </w:r>
      <w:r w:rsidR="00BB32AF">
        <w:rPr>
          <w:i/>
          <w:iCs/>
        </w:rPr>
        <w:t>the F</w:t>
      </w:r>
      <w:r w:rsidR="004122DA">
        <w:rPr>
          <w:i/>
          <w:iCs/>
        </w:rPr>
        <w:t>orge</w:t>
      </w:r>
      <w:r w:rsidR="0019108A">
        <w:rPr>
          <w:i/>
          <w:iCs/>
        </w:rPr>
        <w:t xml:space="preserve"> which is</w:t>
      </w:r>
      <w:r w:rsidR="0019108A" w:rsidRPr="0019108A">
        <w:rPr>
          <w:i/>
          <w:iCs/>
        </w:rPr>
        <w:t xml:space="preserve"> </w:t>
      </w:r>
      <w:r w:rsidR="0019108A" w:rsidRPr="005235C3">
        <w:rPr>
          <w:i/>
          <w:iCs/>
        </w:rPr>
        <w:t xml:space="preserve">open to the elements and </w:t>
      </w:r>
      <w:r w:rsidR="009748D7">
        <w:rPr>
          <w:i/>
          <w:iCs/>
        </w:rPr>
        <w:t xml:space="preserve">has </w:t>
      </w:r>
      <w:r w:rsidR="0019108A" w:rsidRPr="005235C3">
        <w:rPr>
          <w:i/>
          <w:iCs/>
        </w:rPr>
        <w:t>extremes of temperature and</w:t>
      </w:r>
      <w:r w:rsidR="0074112C">
        <w:rPr>
          <w:i/>
          <w:iCs/>
        </w:rPr>
        <w:t xml:space="preserve"> other environmental factors </w:t>
      </w:r>
      <w:proofErr w:type="gramStart"/>
      <w:r w:rsidR="00494249">
        <w:rPr>
          <w:i/>
          <w:iCs/>
        </w:rPr>
        <w:t>on a daily basis</w:t>
      </w:r>
      <w:proofErr w:type="gramEnd"/>
      <w:r w:rsidR="006B4BBF">
        <w:rPr>
          <w:i/>
          <w:iCs/>
        </w:rPr>
        <w:t xml:space="preserve"> as it has since the late 1700s</w:t>
      </w:r>
      <w:r w:rsidR="00494249">
        <w:rPr>
          <w:i/>
          <w:iCs/>
        </w:rPr>
        <w:t>.</w:t>
      </w:r>
      <w:r w:rsidR="002B3381" w:rsidRPr="002B3381">
        <w:rPr>
          <w:i/>
          <w:iCs/>
        </w:rPr>
        <w:t xml:space="preserve"> </w:t>
      </w:r>
      <w:r w:rsidR="002B3381">
        <w:rPr>
          <w:i/>
          <w:iCs/>
        </w:rPr>
        <w:t xml:space="preserve">As we have no method of controlling </w:t>
      </w:r>
      <w:r w:rsidR="00B05CBD">
        <w:rPr>
          <w:i/>
          <w:iCs/>
        </w:rPr>
        <w:t>the environment</w:t>
      </w:r>
      <w:r w:rsidR="004B3CA2">
        <w:rPr>
          <w:i/>
          <w:iCs/>
        </w:rPr>
        <w:t>,</w:t>
      </w:r>
      <w:r w:rsidR="00B05CBD">
        <w:rPr>
          <w:i/>
          <w:iCs/>
        </w:rPr>
        <w:t xml:space="preserve"> </w:t>
      </w:r>
      <w:r w:rsidR="002B3381" w:rsidRPr="005235C3">
        <w:rPr>
          <w:i/>
          <w:iCs/>
        </w:rPr>
        <w:t>controls and monitoring</w:t>
      </w:r>
      <w:r w:rsidR="004416DD">
        <w:rPr>
          <w:i/>
          <w:iCs/>
        </w:rPr>
        <w:t xml:space="preserve"> become </w:t>
      </w:r>
      <w:r w:rsidR="002B3381" w:rsidRPr="005235C3">
        <w:rPr>
          <w:i/>
          <w:iCs/>
        </w:rPr>
        <w:t>irrelevant.</w:t>
      </w:r>
    </w:p>
    <w:p w14:paraId="4658905A" w14:textId="078FF5E1" w:rsidR="00933C62" w:rsidRPr="005E0C31" w:rsidRDefault="00933C62">
      <w:pPr>
        <w:rPr>
          <w:i/>
          <w:iCs/>
        </w:rPr>
      </w:pPr>
    </w:p>
    <w:p w14:paraId="4EA6A15D" w14:textId="77777777" w:rsidR="00945D81" w:rsidRDefault="00D643AB">
      <w:r w:rsidRPr="000C3B09">
        <w:rPr>
          <w:b/>
          <w:bCs/>
        </w:rPr>
        <w:t xml:space="preserve">2.2 Collections development policy: </w:t>
      </w:r>
      <w:r w:rsidRPr="00D643AB">
        <w:t xml:space="preserve"> </w:t>
      </w:r>
    </w:p>
    <w:p w14:paraId="6E0DFEEC" w14:textId="43514570" w:rsidR="0063071C" w:rsidRDefault="00D643AB" w:rsidP="00365E5B">
      <w:pPr>
        <w:pStyle w:val="ListParagraph"/>
        <w:numPr>
          <w:ilvl w:val="0"/>
          <w:numId w:val="3"/>
        </w:numPr>
      </w:pPr>
      <w:r w:rsidRPr="00D643AB">
        <w:t xml:space="preserve">review criteria relating to items with no provenance, consider associated risks and related collections management costs </w:t>
      </w:r>
    </w:p>
    <w:p w14:paraId="111B0361" w14:textId="77777777" w:rsidR="005C2B32" w:rsidRPr="00EC298E" w:rsidRDefault="005C2B32" w:rsidP="00EA5F02">
      <w:pPr>
        <w:pStyle w:val="ListParagraph"/>
        <w:rPr>
          <w:i/>
          <w:iCs/>
        </w:rPr>
      </w:pPr>
      <w:r w:rsidRPr="00EC298E">
        <w:rPr>
          <w:i/>
          <w:iCs/>
        </w:rPr>
        <w:t xml:space="preserve">1) We have listed our collection for accession purposes and have identified items with no provenance. The Forge also recognise we have a handling collection which </w:t>
      </w:r>
      <w:proofErr w:type="gramStart"/>
      <w:r w:rsidRPr="00EC298E">
        <w:rPr>
          <w:i/>
          <w:iCs/>
        </w:rPr>
        <w:t>is used</w:t>
      </w:r>
      <w:proofErr w:type="gramEnd"/>
      <w:r w:rsidRPr="00EC298E">
        <w:rPr>
          <w:i/>
          <w:iCs/>
        </w:rPr>
        <w:t xml:space="preserve"> Blacksmith and volunteers for active demonstrations. We have now </w:t>
      </w:r>
      <w:proofErr w:type="gramStart"/>
      <w:r w:rsidRPr="00EC298E">
        <w:rPr>
          <w:i/>
          <w:iCs/>
        </w:rPr>
        <w:t>have</w:t>
      </w:r>
      <w:proofErr w:type="gramEnd"/>
      <w:r w:rsidRPr="00EC298E">
        <w:rPr>
          <w:i/>
          <w:iCs/>
        </w:rPr>
        <w:t xml:space="preserve"> in place an acquisition and disposal policy which through the use of object entry forms prevents any further material entering the Forge without Provence </w:t>
      </w:r>
    </w:p>
    <w:p w14:paraId="75CEB8F9" w14:textId="5E599A99" w:rsidR="00663E79" w:rsidRDefault="005C2B32" w:rsidP="00663E79">
      <w:pPr>
        <w:pStyle w:val="ListParagraph"/>
        <w:rPr>
          <w:i/>
          <w:iCs/>
        </w:rPr>
      </w:pPr>
      <w:r w:rsidRPr="00EC298E">
        <w:rPr>
          <w:i/>
          <w:iCs/>
        </w:rPr>
        <w:t xml:space="preserve">2) WE have a Collection Development Policy (Acquisition and Disposal) which has </w:t>
      </w:r>
      <w:proofErr w:type="gramStart"/>
      <w:r w:rsidRPr="00EC298E">
        <w:rPr>
          <w:i/>
          <w:iCs/>
        </w:rPr>
        <w:t>been agreed</w:t>
      </w:r>
      <w:proofErr w:type="gramEnd"/>
      <w:r w:rsidRPr="00EC298E">
        <w:rPr>
          <w:i/>
          <w:iCs/>
        </w:rPr>
        <w:t xml:space="preserve"> by the board.</w:t>
      </w:r>
    </w:p>
    <w:p w14:paraId="2E8CC6E9" w14:textId="76B04142" w:rsidR="00992DB6" w:rsidRPr="0041359D" w:rsidRDefault="00992DB6" w:rsidP="0041359D">
      <w:pPr>
        <w:ind w:left="720"/>
        <w:rPr>
          <w:i/>
          <w:iCs/>
        </w:rPr>
      </w:pPr>
      <w:r>
        <w:rPr>
          <w:i/>
          <w:iCs/>
        </w:rPr>
        <w:t xml:space="preserve">3) Future developments of </w:t>
      </w:r>
      <w:proofErr w:type="spellStart"/>
      <w:r>
        <w:rPr>
          <w:i/>
          <w:iCs/>
        </w:rPr>
        <w:t>eco friendly</w:t>
      </w:r>
      <w:proofErr w:type="spellEnd"/>
      <w:r>
        <w:rPr>
          <w:i/>
          <w:iCs/>
        </w:rPr>
        <w:t xml:space="preserve"> Blacksmith workshop </w:t>
      </w:r>
      <w:r w:rsidR="005524C3">
        <w:rPr>
          <w:i/>
          <w:iCs/>
        </w:rPr>
        <w:t xml:space="preserve">to minimise the need to burn </w:t>
      </w:r>
      <w:r w:rsidR="0041359D">
        <w:rPr>
          <w:i/>
          <w:iCs/>
        </w:rPr>
        <w:t xml:space="preserve">fossil fuels </w:t>
      </w:r>
      <w:r>
        <w:rPr>
          <w:i/>
          <w:iCs/>
        </w:rPr>
        <w:t xml:space="preserve">will again modify how the collection </w:t>
      </w:r>
      <w:proofErr w:type="gramStart"/>
      <w:r>
        <w:rPr>
          <w:i/>
          <w:iCs/>
        </w:rPr>
        <w:t>is displayed</w:t>
      </w:r>
      <w:proofErr w:type="gramEnd"/>
      <w:r>
        <w:rPr>
          <w:i/>
          <w:iCs/>
        </w:rPr>
        <w:t>.</w:t>
      </w:r>
    </w:p>
    <w:p w14:paraId="63CF2899" w14:textId="77777777" w:rsidR="0066525E" w:rsidRDefault="0066525E" w:rsidP="0066525E">
      <w:pPr>
        <w:pStyle w:val="ListParagraph"/>
      </w:pPr>
    </w:p>
    <w:p w14:paraId="7549E28A" w14:textId="7CD96C8F" w:rsidR="009C3765" w:rsidRDefault="00D643AB" w:rsidP="0063071C">
      <w:pPr>
        <w:pStyle w:val="ListParagraph"/>
        <w:numPr>
          <w:ilvl w:val="0"/>
          <w:numId w:val="3"/>
        </w:numPr>
      </w:pPr>
      <w:r w:rsidRPr="00D643AB">
        <w:t xml:space="preserve">reconsider policy to not collect archaeological remains, particularly considering the stated identification of pre-17 century foundation remains, and the likelihood that material may be forthcoming in future years.  </w:t>
      </w:r>
    </w:p>
    <w:p w14:paraId="662D5CB1" w14:textId="66422494" w:rsidR="009C3765" w:rsidRPr="0063071C" w:rsidRDefault="009C3765" w:rsidP="009C3765">
      <w:pPr>
        <w:pStyle w:val="ListParagraph"/>
        <w:rPr>
          <w:i/>
          <w:iCs/>
        </w:rPr>
      </w:pPr>
      <w:r w:rsidRPr="0063071C">
        <w:rPr>
          <w:i/>
          <w:iCs/>
        </w:rPr>
        <w:t xml:space="preserve">The items have </w:t>
      </w:r>
      <w:proofErr w:type="gramStart"/>
      <w:r w:rsidRPr="0063071C">
        <w:rPr>
          <w:i/>
          <w:iCs/>
        </w:rPr>
        <w:t>been added</w:t>
      </w:r>
      <w:proofErr w:type="gramEnd"/>
      <w:r w:rsidRPr="0063071C">
        <w:rPr>
          <w:i/>
          <w:iCs/>
        </w:rPr>
        <w:t xml:space="preserve"> to the </w:t>
      </w:r>
      <w:r w:rsidR="00474C9C" w:rsidRPr="0063071C">
        <w:rPr>
          <w:i/>
          <w:iCs/>
        </w:rPr>
        <w:t xml:space="preserve">eHive online database </w:t>
      </w:r>
    </w:p>
    <w:p w14:paraId="16ADF718" w14:textId="77777777" w:rsidR="0066525E" w:rsidRDefault="0066525E" w:rsidP="0066525E">
      <w:pPr>
        <w:pStyle w:val="ListParagraph"/>
      </w:pPr>
    </w:p>
    <w:p w14:paraId="4E00FCAF" w14:textId="77777777" w:rsidR="00E10F7C" w:rsidRDefault="00D643AB" w:rsidP="00832D5C">
      <w:r w:rsidRPr="00945D81">
        <w:rPr>
          <w:b/>
          <w:bCs/>
        </w:rPr>
        <w:t xml:space="preserve">2.5 Documentation: </w:t>
      </w:r>
      <w:r w:rsidRPr="00D643AB">
        <w:t>confirm completion of stage four backlogs (accession register, security copy, marking and/or labelling, location/movement control and indexing) by 30/06</w:t>
      </w:r>
    </w:p>
    <w:p w14:paraId="4BC068E3" w14:textId="3C0B0065" w:rsidR="009B634A" w:rsidRPr="00EC298E" w:rsidRDefault="009B634A" w:rsidP="005C4349">
      <w:pPr>
        <w:pStyle w:val="ListParagraph"/>
        <w:rPr>
          <w:i/>
          <w:iCs/>
        </w:rPr>
      </w:pPr>
      <w:r w:rsidRPr="00EC298E">
        <w:rPr>
          <w:i/>
          <w:iCs/>
        </w:rPr>
        <w:t xml:space="preserve">The collection has evolved since its inception in part because we now have an offsite store and the emphasis on commercial work has resulted in a thinning of the artefacts. The Forge is an agile space reflecting the business needs. Currently we have had to move our </w:t>
      </w:r>
      <w:proofErr w:type="gramStart"/>
      <w:r w:rsidRPr="00EC298E">
        <w:rPr>
          <w:i/>
          <w:iCs/>
        </w:rPr>
        <w:t>off site</w:t>
      </w:r>
      <w:proofErr w:type="gramEnd"/>
      <w:r w:rsidRPr="00EC298E">
        <w:rPr>
          <w:i/>
          <w:iCs/>
        </w:rPr>
        <w:t xml:space="preserve"> store and the </w:t>
      </w:r>
      <w:r w:rsidR="006571D9" w:rsidRPr="00EC298E">
        <w:rPr>
          <w:i/>
          <w:iCs/>
        </w:rPr>
        <w:t>catalogue</w:t>
      </w:r>
      <w:r w:rsidRPr="00EC298E">
        <w:rPr>
          <w:i/>
          <w:iCs/>
        </w:rPr>
        <w:t xml:space="preserve"> needs updating to reflect this new location.  </w:t>
      </w:r>
    </w:p>
    <w:p w14:paraId="07A95717" w14:textId="77777777" w:rsidR="00273E27" w:rsidRPr="00D77143" w:rsidRDefault="00273E27" w:rsidP="00945D81">
      <w:pPr>
        <w:rPr>
          <w:i/>
          <w:iCs/>
        </w:rPr>
      </w:pPr>
    </w:p>
    <w:p w14:paraId="067EB54C" w14:textId="5270FD32" w:rsidR="003906AF" w:rsidRDefault="00D643AB" w:rsidP="00945D81">
      <w:r w:rsidRPr="003906AF">
        <w:rPr>
          <w:b/>
          <w:bCs/>
        </w:rPr>
        <w:t>3.1.5 Access assessments and response:</w:t>
      </w:r>
      <w:r w:rsidRPr="00D643AB">
        <w:t xml:space="preserve"> collate all existing access assessment activity and review to ensure broad coverage and that all appropriate and practicable adjustments have been </w:t>
      </w:r>
      <w:proofErr w:type="gramStart"/>
      <w:r w:rsidRPr="00D643AB">
        <w:t>made, or</w:t>
      </w:r>
      <w:proofErr w:type="gramEnd"/>
      <w:r w:rsidRPr="00D643AB">
        <w:t xml:space="preserve"> can be planned for.  </w:t>
      </w:r>
    </w:p>
    <w:p w14:paraId="7F09E2C3" w14:textId="4C3F3C60" w:rsidR="00EB316D" w:rsidRDefault="00AD03F9" w:rsidP="00E76846">
      <w:pPr>
        <w:ind w:left="720"/>
        <w:rPr>
          <w:i/>
          <w:iCs/>
        </w:rPr>
      </w:pPr>
      <w:r>
        <w:rPr>
          <w:i/>
          <w:iCs/>
        </w:rPr>
        <w:t>D</w:t>
      </w:r>
      <w:r w:rsidR="008578D1">
        <w:rPr>
          <w:i/>
          <w:iCs/>
        </w:rPr>
        <w:t xml:space="preserve">ue to COVID we have </w:t>
      </w:r>
      <w:proofErr w:type="gramStart"/>
      <w:r w:rsidR="008578D1">
        <w:rPr>
          <w:i/>
          <w:iCs/>
        </w:rPr>
        <w:t xml:space="preserve">been </w:t>
      </w:r>
      <w:r w:rsidR="00EB316D">
        <w:rPr>
          <w:i/>
          <w:iCs/>
        </w:rPr>
        <w:t>restricted</w:t>
      </w:r>
      <w:proofErr w:type="gramEnd"/>
      <w:r w:rsidR="00EB316D">
        <w:rPr>
          <w:i/>
          <w:iCs/>
        </w:rPr>
        <w:t xml:space="preserve"> in our assessment of customer needs. </w:t>
      </w:r>
      <w:proofErr w:type="gramStart"/>
      <w:r w:rsidR="0080067A">
        <w:rPr>
          <w:i/>
          <w:iCs/>
        </w:rPr>
        <w:t>However</w:t>
      </w:r>
      <w:proofErr w:type="gramEnd"/>
      <w:r w:rsidR="0080067A">
        <w:rPr>
          <w:i/>
          <w:iCs/>
        </w:rPr>
        <w:t xml:space="preserve"> we have commissioned two studies</w:t>
      </w:r>
      <w:r w:rsidR="00146362">
        <w:rPr>
          <w:i/>
          <w:iCs/>
        </w:rPr>
        <w:t xml:space="preserve">. </w:t>
      </w:r>
    </w:p>
    <w:p w14:paraId="30FC020C" w14:textId="076EA609" w:rsidR="00146362" w:rsidRDefault="00146362" w:rsidP="00146362">
      <w:pPr>
        <w:pStyle w:val="ListParagraph"/>
        <w:numPr>
          <w:ilvl w:val="0"/>
          <w:numId w:val="4"/>
        </w:numPr>
        <w:rPr>
          <w:i/>
          <w:iCs/>
        </w:rPr>
      </w:pPr>
      <w:r>
        <w:rPr>
          <w:i/>
          <w:iCs/>
        </w:rPr>
        <w:lastRenderedPageBreak/>
        <w:t>Working Together</w:t>
      </w:r>
      <w:r w:rsidR="007807F6">
        <w:rPr>
          <w:i/>
          <w:iCs/>
        </w:rPr>
        <w:t xml:space="preserve">- The plan was to bring a number of small attractions together </w:t>
      </w:r>
      <w:r w:rsidR="00BE6599">
        <w:rPr>
          <w:i/>
          <w:iCs/>
        </w:rPr>
        <w:t xml:space="preserve">and share management and marketing. The consultants were </w:t>
      </w:r>
      <w:r w:rsidR="00386014">
        <w:rPr>
          <w:i/>
          <w:iCs/>
        </w:rPr>
        <w:t xml:space="preserve">National Trust. </w:t>
      </w:r>
      <w:proofErr w:type="gramStart"/>
      <w:r w:rsidR="00386014">
        <w:rPr>
          <w:i/>
          <w:iCs/>
        </w:rPr>
        <w:t>Sadly</w:t>
      </w:r>
      <w:proofErr w:type="gramEnd"/>
      <w:r w:rsidR="00386014">
        <w:rPr>
          <w:i/>
          <w:iCs/>
        </w:rPr>
        <w:t xml:space="preserve"> this didn’t </w:t>
      </w:r>
      <w:r w:rsidR="00CA5990">
        <w:rPr>
          <w:i/>
          <w:iCs/>
        </w:rPr>
        <w:t xml:space="preserve">work. </w:t>
      </w:r>
    </w:p>
    <w:p w14:paraId="3AE463E3" w14:textId="2892081F" w:rsidR="00CA5990" w:rsidRDefault="00CA5990" w:rsidP="00146362">
      <w:pPr>
        <w:pStyle w:val="ListParagraph"/>
        <w:numPr>
          <w:ilvl w:val="0"/>
          <w:numId w:val="4"/>
        </w:numPr>
        <w:rPr>
          <w:i/>
          <w:iCs/>
        </w:rPr>
      </w:pPr>
      <w:r>
        <w:rPr>
          <w:i/>
          <w:iCs/>
        </w:rPr>
        <w:t xml:space="preserve">LORIC – Bishop Grosseteste </w:t>
      </w:r>
      <w:r w:rsidR="008215B4">
        <w:rPr>
          <w:i/>
          <w:iCs/>
        </w:rPr>
        <w:t xml:space="preserve">have conducted a study </w:t>
      </w:r>
      <w:r w:rsidR="0036237D">
        <w:rPr>
          <w:i/>
          <w:iCs/>
        </w:rPr>
        <w:t>into marketing.</w:t>
      </w:r>
    </w:p>
    <w:p w14:paraId="054E6874" w14:textId="256EA450" w:rsidR="0036237D" w:rsidRPr="0036237D" w:rsidRDefault="0036237D" w:rsidP="0036237D">
      <w:pPr>
        <w:ind w:left="720"/>
        <w:rPr>
          <w:i/>
          <w:iCs/>
        </w:rPr>
      </w:pPr>
      <w:r>
        <w:rPr>
          <w:i/>
          <w:iCs/>
        </w:rPr>
        <w:t xml:space="preserve">Reports are available to support </w:t>
      </w:r>
      <w:r w:rsidR="00086CCB">
        <w:rPr>
          <w:i/>
          <w:iCs/>
        </w:rPr>
        <w:t>this work.</w:t>
      </w:r>
    </w:p>
    <w:p w14:paraId="53AE4054" w14:textId="65F4E534" w:rsidR="009745B7" w:rsidRDefault="00DD0599" w:rsidP="00E76846">
      <w:pPr>
        <w:ind w:left="720"/>
        <w:rPr>
          <w:i/>
          <w:iCs/>
        </w:rPr>
      </w:pPr>
      <w:r w:rsidRPr="00757E70">
        <w:rPr>
          <w:i/>
          <w:iCs/>
        </w:rPr>
        <w:t xml:space="preserve">Our Access Plan is always under review as we try to </w:t>
      </w:r>
      <w:r w:rsidR="00ED415D" w:rsidRPr="00757E70">
        <w:rPr>
          <w:i/>
          <w:iCs/>
        </w:rPr>
        <w:t xml:space="preserve">juggle the demands of a commercial </w:t>
      </w:r>
      <w:r w:rsidR="009A554F">
        <w:rPr>
          <w:i/>
          <w:iCs/>
        </w:rPr>
        <w:t>workshop</w:t>
      </w:r>
      <w:r w:rsidR="00137010">
        <w:rPr>
          <w:i/>
          <w:iCs/>
        </w:rPr>
        <w:t xml:space="preserve"> which preserves the craft of Blacksmithing </w:t>
      </w:r>
      <w:r w:rsidR="00ED415D" w:rsidRPr="00757E70">
        <w:rPr>
          <w:i/>
          <w:iCs/>
        </w:rPr>
        <w:t xml:space="preserve">with that </w:t>
      </w:r>
      <w:r w:rsidR="00757E70" w:rsidRPr="00757E70">
        <w:rPr>
          <w:i/>
          <w:iCs/>
        </w:rPr>
        <w:t>of a visitor attraction.</w:t>
      </w:r>
      <w:r w:rsidR="009E0B60">
        <w:rPr>
          <w:i/>
          <w:iCs/>
        </w:rPr>
        <w:t xml:space="preserve"> </w:t>
      </w:r>
      <w:r w:rsidR="00F87588">
        <w:rPr>
          <w:i/>
          <w:iCs/>
        </w:rPr>
        <w:t xml:space="preserve">As the Blacksmith has become more successful </w:t>
      </w:r>
      <w:r w:rsidR="008D384B">
        <w:rPr>
          <w:i/>
          <w:iCs/>
        </w:rPr>
        <w:t xml:space="preserve">these issues have worsened. </w:t>
      </w:r>
      <w:proofErr w:type="gramStart"/>
      <w:r w:rsidR="008D384B">
        <w:rPr>
          <w:i/>
          <w:iCs/>
        </w:rPr>
        <w:t>So</w:t>
      </w:r>
      <w:proofErr w:type="gramEnd"/>
      <w:r w:rsidR="008D384B">
        <w:rPr>
          <w:i/>
          <w:iCs/>
        </w:rPr>
        <w:t xml:space="preserve"> we are in the process of </w:t>
      </w:r>
      <w:r w:rsidR="00771CDA">
        <w:rPr>
          <w:i/>
          <w:iCs/>
        </w:rPr>
        <w:t xml:space="preserve">gaining approval to build an Eco workshop for the </w:t>
      </w:r>
      <w:r w:rsidR="00EF6861">
        <w:rPr>
          <w:i/>
          <w:iCs/>
        </w:rPr>
        <w:t>commercial work</w:t>
      </w:r>
      <w:r w:rsidR="00DE49C3">
        <w:rPr>
          <w:i/>
          <w:iCs/>
        </w:rPr>
        <w:t xml:space="preserve"> and return the Forge to just a heritage attraction which offers </w:t>
      </w:r>
      <w:r w:rsidR="009E0B60">
        <w:rPr>
          <w:i/>
          <w:iCs/>
        </w:rPr>
        <w:t>demonstration</w:t>
      </w:r>
      <w:r w:rsidR="00F46F56">
        <w:rPr>
          <w:i/>
          <w:iCs/>
        </w:rPr>
        <w:t xml:space="preserve">s </w:t>
      </w:r>
      <w:r w:rsidR="009E0B60">
        <w:rPr>
          <w:i/>
          <w:iCs/>
        </w:rPr>
        <w:t xml:space="preserve">and tasters. </w:t>
      </w:r>
    </w:p>
    <w:p w14:paraId="2EFB90D7" w14:textId="77777777" w:rsidR="00CA4B83" w:rsidRPr="00757E70" w:rsidRDefault="00CA4B83" w:rsidP="00945D81">
      <w:pPr>
        <w:rPr>
          <w:i/>
          <w:iCs/>
        </w:rPr>
      </w:pPr>
    </w:p>
    <w:p w14:paraId="45FDD0F8" w14:textId="03F04EB1" w:rsidR="00933C62" w:rsidRDefault="00D643AB" w:rsidP="00945D81">
      <w:r w:rsidRPr="003906AF">
        <w:rPr>
          <w:b/>
          <w:bCs/>
        </w:rPr>
        <w:t>3.2.2 Orientation:</w:t>
      </w:r>
      <w:r w:rsidRPr="00D643AB">
        <w:t xml:space="preserve"> investigate methods of improving external signage to the museum, particularly walking access from the station.</w:t>
      </w:r>
    </w:p>
    <w:p w14:paraId="096382B3" w14:textId="77777777" w:rsidR="003B3346" w:rsidRPr="003B3346" w:rsidRDefault="003B3346" w:rsidP="003B3346">
      <w:pPr>
        <w:ind w:left="720"/>
        <w:rPr>
          <w:i/>
          <w:iCs/>
        </w:rPr>
      </w:pPr>
      <w:r w:rsidRPr="003B3346">
        <w:rPr>
          <w:i/>
          <w:iCs/>
        </w:rPr>
        <w:t xml:space="preserve">Attempts to get the map altered have failed and some of the brown signs have </w:t>
      </w:r>
      <w:proofErr w:type="gramStart"/>
      <w:r w:rsidRPr="003B3346">
        <w:rPr>
          <w:i/>
          <w:iCs/>
        </w:rPr>
        <w:t>been removed</w:t>
      </w:r>
      <w:proofErr w:type="gramEnd"/>
      <w:r w:rsidRPr="003B3346">
        <w:rPr>
          <w:i/>
          <w:iCs/>
        </w:rPr>
        <w:t>. We have included a map on our leaflet, the website includes a map and active use of social media to promote the Forge seems to bring rewards.</w:t>
      </w:r>
    </w:p>
    <w:p w14:paraId="3C938171" w14:textId="4999C034" w:rsidR="003B3346" w:rsidRPr="000E7B1B" w:rsidRDefault="003B3346" w:rsidP="00470108">
      <w:pPr>
        <w:ind w:left="720"/>
        <w:rPr>
          <w:i/>
          <w:iCs/>
        </w:rPr>
      </w:pPr>
      <w:r w:rsidRPr="003B3346">
        <w:rPr>
          <w:i/>
          <w:iCs/>
        </w:rPr>
        <w:t>We have also successfully delivered an arts project funded by Arts Council which has created an art feature at the front of the Forge. The project also installed art features at Moulton Mill and Pinchbeck Pumping Museum.</w:t>
      </w:r>
    </w:p>
    <w:sectPr w:rsidR="003B3346" w:rsidRPr="000E7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A89"/>
    <w:multiLevelType w:val="hybridMultilevel"/>
    <w:tmpl w:val="4E72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703EC"/>
    <w:multiLevelType w:val="hybridMultilevel"/>
    <w:tmpl w:val="2A46237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4E760A"/>
    <w:multiLevelType w:val="hybridMultilevel"/>
    <w:tmpl w:val="5394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B4918"/>
    <w:multiLevelType w:val="hybridMultilevel"/>
    <w:tmpl w:val="A1B0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180125">
    <w:abstractNumId w:val="3"/>
  </w:num>
  <w:num w:numId="2" w16cid:durableId="470558081">
    <w:abstractNumId w:val="0"/>
  </w:num>
  <w:num w:numId="3" w16cid:durableId="1954509510">
    <w:abstractNumId w:val="2"/>
  </w:num>
  <w:num w:numId="4" w16cid:durableId="44115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48"/>
    <w:rsid w:val="00012251"/>
    <w:rsid w:val="00086C1F"/>
    <w:rsid w:val="00086CCB"/>
    <w:rsid w:val="00092B68"/>
    <w:rsid w:val="000A247F"/>
    <w:rsid w:val="000C3B09"/>
    <w:rsid w:val="000E75AF"/>
    <w:rsid w:val="000E7B1B"/>
    <w:rsid w:val="0010189E"/>
    <w:rsid w:val="00113AFD"/>
    <w:rsid w:val="00124365"/>
    <w:rsid w:val="00137010"/>
    <w:rsid w:val="00146362"/>
    <w:rsid w:val="00153704"/>
    <w:rsid w:val="00176B73"/>
    <w:rsid w:val="00182090"/>
    <w:rsid w:val="001836EF"/>
    <w:rsid w:val="00190480"/>
    <w:rsid w:val="00190E50"/>
    <w:rsid w:val="0019108A"/>
    <w:rsid w:val="001B11FD"/>
    <w:rsid w:val="001B2181"/>
    <w:rsid w:val="001B60C1"/>
    <w:rsid w:val="001B637C"/>
    <w:rsid w:val="001C37AC"/>
    <w:rsid w:val="001D0EE5"/>
    <w:rsid w:val="001D3F48"/>
    <w:rsid w:val="001D6AF1"/>
    <w:rsid w:val="001F0403"/>
    <w:rsid w:val="001F4D46"/>
    <w:rsid w:val="00234D93"/>
    <w:rsid w:val="002378E2"/>
    <w:rsid w:val="00242EB3"/>
    <w:rsid w:val="002447D3"/>
    <w:rsid w:val="0024526C"/>
    <w:rsid w:val="00245724"/>
    <w:rsid w:val="00263106"/>
    <w:rsid w:val="00267550"/>
    <w:rsid w:val="00273E27"/>
    <w:rsid w:val="00275774"/>
    <w:rsid w:val="002A2F7D"/>
    <w:rsid w:val="002A4431"/>
    <w:rsid w:val="002B3381"/>
    <w:rsid w:val="002C2ED5"/>
    <w:rsid w:val="002E0BB5"/>
    <w:rsid w:val="002E2D06"/>
    <w:rsid w:val="002F04EB"/>
    <w:rsid w:val="003213AD"/>
    <w:rsid w:val="00352483"/>
    <w:rsid w:val="0036237D"/>
    <w:rsid w:val="00365E5B"/>
    <w:rsid w:val="00386014"/>
    <w:rsid w:val="003906AF"/>
    <w:rsid w:val="0039164E"/>
    <w:rsid w:val="003946A4"/>
    <w:rsid w:val="003975A3"/>
    <w:rsid w:val="003B3346"/>
    <w:rsid w:val="003C2776"/>
    <w:rsid w:val="003D3DB7"/>
    <w:rsid w:val="003D6787"/>
    <w:rsid w:val="004014CD"/>
    <w:rsid w:val="00411617"/>
    <w:rsid w:val="004122DA"/>
    <w:rsid w:val="0041359D"/>
    <w:rsid w:val="00415569"/>
    <w:rsid w:val="00420850"/>
    <w:rsid w:val="00426ADE"/>
    <w:rsid w:val="0043709C"/>
    <w:rsid w:val="004416DD"/>
    <w:rsid w:val="004502D6"/>
    <w:rsid w:val="00470108"/>
    <w:rsid w:val="00471DF9"/>
    <w:rsid w:val="00474BD0"/>
    <w:rsid w:val="00474C9C"/>
    <w:rsid w:val="00494249"/>
    <w:rsid w:val="0049786B"/>
    <w:rsid w:val="004B3CA2"/>
    <w:rsid w:val="00512D4A"/>
    <w:rsid w:val="00513C14"/>
    <w:rsid w:val="005173E6"/>
    <w:rsid w:val="00520FFE"/>
    <w:rsid w:val="005235C3"/>
    <w:rsid w:val="00524BAE"/>
    <w:rsid w:val="00534F88"/>
    <w:rsid w:val="005372C4"/>
    <w:rsid w:val="005404A8"/>
    <w:rsid w:val="005418EB"/>
    <w:rsid w:val="005524C3"/>
    <w:rsid w:val="00560E8D"/>
    <w:rsid w:val="00562D78"/>
    <w:rsid w:val="00565A6F"/>
    <w:rsid w:val="00565CCE"/>
    <w:rsid w:val="00571CBC"/>
    <w:rsid w:val="0058424A"/>
    <w:rsid w:val="00596537"/>
    <w:rsid w:val="005A3EFE"/>
    <w:rsid w:val="005C0796"/>
    <w:rsid w:val="005C2B32"/>
    <w:rsid w:val="005E0C31"/>
    <w:rsid w:val="005E648F"/>
    <w:rsid w:val="005E69B2"/>
    <w:rsid w:val="0063071C"/>
    <w:rsid w:val="006571D9"/>
    <w:rsid w:val="00663B11"/>
    <w:rsid w:val="00663E79"/>
    <w:rsid w:val="0066525E"/>
    <w:rsid w:val="006873DD"/>
    <w:rsid w:val="00694FAB"/>
    <w:rsid w:val="006A5F3C"/>
    <w:rsid w:val="006A6DD9"/>
    <w:rsid w:val="006B4BBF"/>
    <w:rsid w:val="006D0848"/>
    <w:rsid w:val="00716D67"/>
    <w:rsid w:val="0074112C"/>
    <w:rsid w:val="007538CC"/>
    <w:rsid w:val="00757E70"/>
    <w:rsid w:val="00767D09"/>
    <w:rsid w:val="0077000E"/>
    <w:rsid w:val="00771CDA"/>
    <w:rsid w:val="007807F6"/>
    <w:rsid w:val="00796F53"/>
    <w:rsid w:val="007C44CB"/>
    <w:rsid w:val="0080067A"/>
    <w:rsid w:val="00813EB9"/>
    <w:rsid w:val="008215B4"/>
    <w:rsid w:val="0082385D"/>
    <w:rsid w:val="008315CA"/>
    <w:rsid w:val="00832D5C"/>
    <w:rsid w:val="008578D1"/>
    <w:rsid w:val="00873F3C"/>
    <w:rsid w:val="008A1C2B"/>
    <w:rsid w:val="008B2BD4"/>
    <w:rsid w:val="008B3826"/>
    <w:rsid w:val="008D384B"/>
    <w:rsid w:val="008D6D3F"/>
    <w:rsid w:val="008E075F"/>
    <w:rsid w:val="008F0B18"/>
    <w:rsid w:val="0090785D"/>
    <w:rsid w:val="00913292"/>
    <w:rsid w:val="00914068"/>
    <w:rsid w:val="0092668E"/>
    <w:rsid w:val="00933C62"/>
    <w:rsid w:val="009350A4"/>
    <w:rsid w:val="0094441D"/>
    <w:rsid w:val="00945D81"/>
    <w:rsid w:val="00956EA3"/>
    <w:rsid w:val="00965E98"/>
    <w:rsid w:val="009745B7"/>
    <w:rsid w:val="009748D7"/>
    <w:rsid w:val="00983664"/>
    <w:rsid w:val="00991A08"/>
    <w:rsid w:val="00992DB6"/>
    <w:rsid w:val="009A554F"/>
    <w:rsid w:val="009A7070"/>
    <w:rsid w:val="009B5FD9"/>
    <w:rsid w:val="009B634A"/>
    <w:rsid w:val="009C3765"/>
    <w:rsid w:val="009D7921"/>
    <w:rsid w:val="009E0B60"/>
    <w:rsid w:val="00A13478"/>
    <w:rsid w:val="00A145C4"/>
    <w:rsid w:val="00A2727A"/>
    <w:rsid w:val="00A314F2"/>
    <w:rsid w:val="00A35994"/>
    <w:rsid w:val="00A417AC"/>
    <w:rsid w:val="00A70D9F"/>
    <w:rsid w:val="00A72ABD"/>
    <w:rsid w:val="00A84996"/>
    <w:rsid w:val="00A878A1"/>
    <w:rsid w:val="00A91DDC"/>
    <w:rsid w:val="00AA2ADE"/>
    <w:rsid w:val="00AD03F9"/>
    <w:rsid w:val="00AD0A41"/>
    <w:rsid w:val="00AE0660"/>
    <w:rsid w:val="00AE5526"/>
    <w:rsid w:val="00B05CBD"/>
    <w:rsid w:val="00B437C9"/>
    <w:rsid w:val="00B4566B"/>
    <w:rsid w:val="00B60193"/>
    <w:rsid w:val="00B636C3"/>
    <w:rsid w:val="00B7000C"/>
    <w:rsid w:val="00B70E42"/>
    <w:rsid w:val="00B759DB"/>
    <w:rsid w:val="00BA37A5"/>
    <w:rsid w:val="00BB32AF"/>
    <w:rsid w:val="00BB408F"/>
    <w:rsid w:val="00BE6599"/>
    <w:rsid w:val="00C31D35"/>
    <w:rsid w:val="00C372E9"/>
    <w:rsid w:val="00C90FCE"/>
    <w:rsid w:val="00C92772"/>
    <w:rsid w:val="00CA4B83"/>
    <w:rsid w:val="00CA5990"/>
    <w:rsid w:val="00CB6AF1"/>
    <w:rsid w:val="00CC720D"/>
    <w:rsid w:val="00CD0D59"/>
    <w:rsid w:val="00CF2301"/>
    <w:rsid w:val="00CF23C1"/>
    <w:rsid w:val="00D040EF"/>
    <w:rsid w:val="00D06472"/>
    <w:rsid w:val="00D169D2"/>
    <w:rsid w:val="00D30ED1"/>
    <w:rsid w:val="00D643AB"/>
    <w:rsid w:val="00D77143"/>
    <w:rsid w:val="00D821D9"/>
    <w:rsid w:val="00D823ED"/>
    <w:rsid w:val="00D86C53"/>
    <w:rsid w:val="00D9075D"/>
    <w:rsid w:val="00D94F59"/>
    <w:rsid w:val="00DD0599"/>
    <w:rsid w:val="00DE49C3"/>
    <w:rsid w:val="00E01686"/>
    <w:rsid w:val="00E10F7C"/>
    <w:rsid w:val="00E327C8"/>
    <w:rsid w:val="00E3759C"/>
    <w:rsid w:val="00E400E9"/>
    <w:rsid w:val="00E65757"/>
    <w:rsid w:val="00E76846"/>
    <w:rsid w:val="00E76917"/>
    <w:rsid w:val="00E83A49"/>
    <w:rsid w:val="00E851CF"/>
    <w:rsid w:val="00EA1156"/>
    <w:rsid w:val="00EA5F02"/>
    <w:rsid w:val="00EB316D"/>
    <w:rsid w:val="00EC298E"/>
    <w:rsid w:val="00ED0324"/>
    <w:rsid w:val="00ED415D"/>
    <w:rsid w:val="00ED42D8"/>
    <w:rsid w:val="00EE4785"/>
    <w:rsid w:val="00EF3C89"/>
    <w:rsid w:val="00EF477F"/>
    <w:rsid w:val="00EF5FDA"/>
    <w:rsid w:val="00EF6861"/>
    <w:rsid w:val="00F064F8"/>
    <w:rsid w:val="00F21397"/>
    <w:rsid w:val="00F46F56"/>
    <w:rsid w:val="00F513FC"/>
    <w:rsid w:val="00F52A05"/>
    <w:rsid w:val="00F679CF"/>
    <w:rsid w:val="00F87588"/>
    <w:rsid w:val="00FA7220"/>
    <w:rsid w:val="00FB7862"/>
    <w:rsid w:val="00FD6A3B"/>
    <w:rsid w:val="00FE6736"/>
    <w:rsid w:val="00FF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AF5A"/>
  <w15:chartTrackingRefBased/>
  <w15:docId w15:val="{3D48F424-3F38-7343-832D-EDD752D4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60"/>
    <w:pPr>
      <w:ind w:left="720"/>
      <w:contextualSpacing/>
    </w:pPr>
  </w:style>
  <w:style w:type="table" w:styleId="TableGrid">
    <w:name w:val="Table Grid"/>
    <w:basedOn w:val="TableNormal"/>
    <w:uiPriority w:val="39"/>
    <w:rsid w:val="00CF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456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90E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D3F4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277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Taylor</dc:creator>
  <cp:keywords/>
  <dc:description/>
  <cp:lastModifiedBy>Geoffrey Taylor</cp:lastModifiedBy>
  <cp:revision>2</cp:revision>
  <dcterms:created xsi:type="dcterms:W3CDTF">2022-04-29T11:08:00Z</dcterms:created>
  <dcterms:modified xsi:type="dcterms:W3CDTF">2022-04-29T11:08:00Z</dcterms:modified>
</cp:coreProperties>
</file>